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文件编号：WI-PR-006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冲压工序作业指导书</w:t>
      </w:r>
    </w:p>
    <w:p/>
    <w:p>
      <w:pPr>
        <w:pStyle w:val="Heading1"/>
      </w:pPr>
      <w:r>
        <w:t>1. 目的</w:t>
      </w:r>
    </w:p>
    <w:p>
      <w:r>
        <w:t>规范冲压操作。</w:t>
      </w:r>
    </w:p>
    <w:p/>
    <w:p>
      <w:pPr>
        <w:pStyle w:val="Heading1"/>
      </w:pPr>
      <w:r>
        <w:t>2. 范围</w:t>
      </w:r>
    </w:p>
    <w:p>
      <w:r>
        <w:t>适用于冲床冲压作业。</w:t>
      </w:r>
    </w:p>
    <w:p/>
    <w:p>
      <w:pPr>
        <w:pStyle w:val="Heading1"/>
      </w:pPr>
      <w:r>
        <w:t>3. 作业前准备</w:t>
      </w:r>
    </w:p>
    <w:p>
      <w:pPr>
        <w:pStyle w:val="ListBullet"/>
      </w:pPr>
      <w:r>
        <w:t>检查冲床状态</w:t>
      </w:r>
    </w:p>
    <w:p>
      <w:pPr>
        <w:pStyle w:val="ListBullet"/>
      </w:pPr>
      <w:r>
        <w:t>安装模具</w:t>
      </w:r>
    </w:p>
    <w:p>
      <w:pPr>
        <w:pStyle w:val="ListBullet"/>
      </w:pPr>
      <w:r>
        <w:t>调整行程和压力</w:t>
      </w:r>
    </w:p>
    <w:p>
      <w:pPr>
        <w:pStyle w:val="ListBullet"/>
      </w:pPr>
      <w:r>
        <w:t>准备板材</w:t>
      </w:r>
    </w:p>
    <w:p/>
    <w:p>
      <w:pPr>
        <w:pStyle w:val="Heading1"/>
      </w:pPr>
      <w:r>
        <w:t>4. 操作步骤</w:t>
      </w:r>
    </w:p>
    <w:p>
      <w:pPr>
        <w:pStyle w:val="ListBullet"/>
      </w:pPr>
      <w:r>
        <w:t>进行首件冲压</w:t>
      </w:r>
    </w:p>
    <w:p>
      <w:pPr>
        <w:pStyle w:val="ListBullet"/>
      </w:pPr>
      <w:r>
        <w:t>首件检验</w:t>
      </w:r>
    </w:p>
    <w:p>
      <w:pPr>
        <w:pStyle w:val="ListBullet"/>
      </w:pPr>
      <w:r>
        <w:t>批量冲压</w:t>
      </w:r>
    </w:p>
    <w:p>
      <w:pPr>
        <w:pStyle w:val="ListBullet"/>
      </w:pPr>
      <w:r>
        <w:t>定时自检</w:t>
      </w:r>
    </w:p>
    <w:p>
      <w:pPr>
        <w:pStyle w:val="ListBullet"/>
      </w:pPr>
      <w:r>
        <w:t>去毛刺</w:t>
      </w:r>
    </w:p>
    <w:p/>
    <w:p>
      <w:pPr>
        <w:pStyle w:val="Heading1"/>
      </w:pPr>
      <w:r>
        <w:t>5. 质量要求</w:t>
      </w:r>
    </w:p>
    <w:p>
      <w:pPr>
        <w:pStyle w:val="ListBullet"/>
      </w:pPr>
      <w:r>
        <w:t>尺寸符合要求</w:t>
      </w:r>
    </w:p>
    <w:p>
      <w:pPr>
        <w:pStyle w:val="ListBullet"/>
      </w:pPr>
      <w:r>
        <w:t>无裂纹、变形</w:t>
      </w:r>
    </w:p>
    <w:p>
      <w:pPr>
        <w:pStyle w:val="ListBullet"/>
      </w:pPr>
      <w:r>
        <w:t>毛刺在允许范围内</w:t>
      </w:r>
    </w:p>
    <w:p/>
    <w:p>
      <w:pPr>
        <w:pStyle w:val="Heading1"/>
      </w:pPr>
      <w:r>
        <w:t>6. 安全事项</w:t>
      </w:r>
    </w:p>
    <w:p>
      <w:pPr>
        <w:pStyle w:val="ListBullet"/>
      </w:pPr>
      <w:r>
        <w:t>双手操作按钮</w:t>
      </w:r>
    </w:p>
    <w:p>
      <w:pPr>
        <w:pStyle w:val="ListBullet"/>
      </w:pPr>
      <w:r>
        <w:t>严禁手入模具区</w:t>
      </w:r>
    </w:p>
    <w:p>
      <w:pPr>
        <w:pStyle w:val="ListBullet"/>
      </w:pPr>
      <w:r>
        <w:t>戴防护用品</w:t>
      </w:r>
    </w:p>
    <w:p/>
    <w:p>
      <w:pPr>
        <w:pStyle w:val="Heading1"/>
      </w:pPr>
      <w:r>
        <w:t>7. 记录</w:t>
      </w:r>
    </w:p>
    <w:p>
      <w:r>
        <w:t>填写《冲压记录》（FM-104）。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